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4E" w:rsidRDefault="0046199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E6284E" w:rsidRDefault="0046199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广州市建筑业“链长制”工作示范企业（“投建营”一体化）</w:t>
      </w:r>
    </w:p>
    <w:p w:rsidR="00E6284E" w:rsidRDefault="0046199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遴选指标</w:t>
      </w:r>
    </w:p>
    <w:tbl>
      <w:tblPr>
        <w:tblStyle w:val="a6"/>
        <w:tblW w:w="13659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274"/>
        <w:gridCol w:w="1276"/>
        <w:gridCol w:w="3969"/>
        <w:gridCol w:w="992"/>
        <w:gridCol w:w="5726"/>
      </w:tblGrid>
      <w:tr w:rsidR="00E6284E">
        <w:trPr>
          <w:trHeight w:val="803"/>
          <w:jc w:val="center"/>
        </w:trPr>
        <w:tc>
          <w:tcPr>
            <w:tcW w:w="422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4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276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3969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992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726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E6284E">
        <w:trPr>
          <w:trHeight w:val="3535"/>
          <w:jc w:val="center"/>
        </w:trPr>
        <w:tc>
          <w:tcPr>
            <w:tcW w:w="422" w:type="dxa"/>
            <w:vMerge w:val="restart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274" w:type="dxa"/>
            <w:vMerge w:val="restart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综合效益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（20分）</w:t>
            </w:r>
          </w:p>
        </w:tc>
        <w:tc>
          <w:tcPr>
            <w:tcW w:w="1276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营业收入</w:t>
            </w:r>
          </w:p>
        </w:tc>
        <w:tc>
          <w:tcPr>
            <w:tcW w:w="3969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营业收入=主营业务收入+其他业务收入</w:t>
            </w:r>
          </w:p>
        </w:tc>
        <w:tc>
          <w:tcPr>
            <w:tcW w:w="992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726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1.营业收入平均值100亿元及以上，得5分；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2.营业收入平均值80-100（含80亿）亿元，得3分；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3.营业收入平均值50-80（含50亿）亿元，得1分；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4.其他不得分。</w:t>
            </w:r>
          </w:p>
        </w:tc>
      </w:tr>
      <w:tr w:rsidR="00E6284E">
        <w:trPr>
          <w:trHeight w:val="2220"/>
          <w:jc w:val="center"/>
        </w:trPr>
        <w:tc>
          <w:tcPr>
            <w:tcW w:w="422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</w:t>
            </w:r>
          </w:p>
        </w:tc>
        <w:tc>
          <w:tcPr>
            <w:tcW w:w="3969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利润总额=营业利润+营业外收入-营业外支出</w:t>
            </w:r>
          </w:p>
        </w:tc>
        <w:tc>
          <w:tcPr>
            <w:tcW w:w="992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726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1.利润总额平均值10亿元及以上，得5分；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2.利润总额平均值8-10（含8亿）亿元，得3分；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3.利润总额平均值6-8（含6亿）亿元，得1分；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4.其他不得分。</w:t>
            </w:r>
          </w:p>
        </w:tc>
      </w:tr>
    </w:tbl>
    <w:tbl>
      <w:tblPr>
        <w:tblStyle w:val="a6"/>
        <w:tblpPr w:leftFromText="180" w:rightFromText="180" w:vertAnchor="text" w:horzAnchor="page" w:tblpX="1621" w:tblpY="10"/>
        <w:tblOverlap w:val="never"/>
        <w:tblW w:w="13659" w:type="dxa"/>
        <w:tblLayout w:type="fixed"/>
        <w:tblLook w:val="04A0" w:firstRow="1" w:lastRow="0" w:firstColumn="1" w:lastColumn="0" w:noHBand="0" w:noVBand="1"/>
      </w:tblPr>
      <w:tblGrid>
        <w:gridCol w:w="435"/>
        <w:gridCol w:w="1290"/>
        <w:gridCol w:w="1275"/>
        <w:gridCol w:w="3945"/>
        <w:gridCol w:w="1073"/>
        <w:gridCol w:w="5641"/>
      </w:tblGrid>
      <w:tr w:rsidR="00E6284E">
        <w:trPr>
          <w:trHeight w:val="252"/>
        </w:trPr>
        <w:tc>
          <w:tcPr>
            <w:tcW w:w="43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90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E6284E">
        <w:trPr>
          <w:trHeight w:val="2372"/>
        </w:trPr>
        <w:tc>
          <w:tcPr>
            <w:tcW w:w="435" w:type="dxa"/>
            <w:vMerge w:val="restart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综合效益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（20分）</w:t>
            </w: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增长率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利润总额增长率=（年利润增长额/上年利润总额）×100%</w:t>
            </w:r>
          </w:p>
        </w:tc>
        <w:tc>
          <w:tcPr>
            <w:tcW w:w="1073" w:type="dxa"/>
            <w:vAlign w:val="center"/>
          </w:tcPr>
          <w:p w:rsidR="00E6284E" w:rsidRDefault="00E6284E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1.利润总额增长率平均值18%及以上，得5分；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2.利润总额增长率平均值15-18%（含15%），得3分；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3.利润总额增长率平均值12-15%（含12%），得1分；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4.其他不得分。</w:t>
            </w:r>
          </w:p>
        </w:tc>
      </w:tr>
      <w:tr w:rsidR="00E6284E">
        <w:trPr>
          <w:trHeight w:val="1935"/>
        </w:trPr>
        <w:tc>
          <w:tcPr>
            <w:tcW w:w="435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总资产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增长率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总资产增长率=（本年总资产增长额/年初资产总额）×100%</w:t>
            </w:r>
          </w:p>
        </w:tc>
        <w:tc>
          <w:tcPr>
            <w:tcW w:w="1073" w:type="dxa"/>
            <w:vAlign w:val="center"/>
          </w:tcPr>
          <w:p w:rsidR="00E6284E" w:rsidRDefault="00E6284E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1.总资产增长率平均值8%及以上，得5分；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2.总资产增长率平均值7-8%（含7%），得3分；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3.总资产增长率平均值6-7%（含6%），得1分；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4.其他不得分。</w:t>
            </w:r>
          </w:p>
        </w:tc>
      </w:tr>
      <w:tr w:rsidR="00E6284E">
        <w:tc>
          <w:tcPr>
            <w:tcW w:w="435" w:type="dxa"/>
            <w:vMerge w:val="restart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</w:p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产业联动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（15 分）</w:t>
            </w: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经营业务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领域覆盖面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包括但不限于建筑业、建筑科研、技术服务、装备材料、水利管理与水力发电、新兴清洁能源、医疗健康养老、棚户区改造、住房租赁、金属结构制安、园林绿化、特种设备制造安装等行业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经营业务覆盖上述行业3个领域，得1分；</w:t>
            </w:r>
          </w:p>
          <w:p w:rsidR="00E6284E" w:rsidRDefault="00461997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经营业务覆盖上述行业4-5个领域，得2分；</w:t>
            </w:r>
          </w:p>
          <w:p w:rsidR="00E6284E" w:rsidRDefault="00461997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经营业务覆盖上述行业6个及以上领域，得3分；</w:t>
            </w:r>
          </w:p>
          <w:p w:rsidR="00E6284E" w:rsidRDefault="00461997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其他不得分。</w:t>
            </w:r>
          </w:p>
        </w:tc>
      </w:tr>
      <w:tr w:rsidR="00E6284E">
        <w:trPr>
          <w:trHeight w:val="1550"/>
        </w:trPr>
        <w:tc>
          <w:tcPr>
            <w:tcW w:w="435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项目领域覆盖面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公共设施、城市更新、乡村振兴、新型建材、高速公路、机场、水利工程、航运工程、金属结构制安等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1.项目领域覆盖上6个及以上类型，得3分；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2.项目领域覆盖上述4-5个类型，得2分；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3.项目领域覆盖上述3个类型，得1分；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4.其他不得分。</w:t>
            </w:r>
          </w:p>
        </w:tc>
      </w:tr>
      <w:tr w:rsidR="00E6284E">
        <w:trPr>
          <w:trHeight w:val="90"/>
        </w:trPr>
        <w:tc>
          <w:tcPr>
            <w:tcW w:w="43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90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E6284E">
        <w:trPr>
          <w:trHeight w:val="2656"/>
        </w:trPr>
        <w:tc>
          <w:tcPr>
            <w:tcW w:w="435" w:type="dxa"/>
            <w:vMerge w:val="restart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产业联动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（15 分）</w:t>
            </w: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在建项目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投资金额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投资金额在 5亿以上的项目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1" w:type="dxa"/>
            <w:vAlign w:val="center"/>
          </w:tcPr>
          <w:p w:rsidR="00E6284E" w:rsidRDefault="00E6284E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1.投资金额在5亿以上的项目有3个及以上，得3分；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2.投资金额在5亿以上的项目有2个，得2分；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3.投资金额在5亿以上的项目有1个，得1分；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4.其他不得分。</w:t>
            </w:r>
          </w:p>
          <w:p w:rsidR="00E6284E" w:rsidRDefault="00E6284E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E6284E">
        <w:trPr>
          <w:trHeight w:val="3966"/>
        </w:trPr>
        <w:tc>
          <w:tcPr>
            <w:tcW w:w="435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产业价值链的完备程度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纵向产业链（上中下游供需链）以及横向产业链（产业配套协作链）是否完备：建筑科研、勘察、设计、项目管理、工程监理、招标代理、工程咨询、原材料供应、施工、检验检测、维护维修和运营等；装配式构件供应、工程机械设备供应、金属结构制安、特种设备制造安装等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产业链包括上述行业8项及以上，得3分；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2.产业链包括上述行业6-7项，得2分；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3.产业链包括上述行业5项，得1分；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4.其他不得分。</w:t>
            </w:r>
          </w:p>
        </w:tc>
      </w:tr>
      <w:tr w:rsidR="00E6284E">
        <w:trPr>
          <w:trHeight w:val="1275"/>
        </w:trPr>
        <w:tc>
          <w:tcPr>
            <w:tcW w:w="435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对行业的示范引领作用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积极发挥企业的示范作用，带动行业的转型升级、推进产业链高质量发展。</w:t>
            </w:r>
          </w:p>
        </w:tc>
        <w:tc>
          <w:tcPr>
            <w:tcW w:w="1073" w:type="dxa"/>
            <w:vAlign w:val="center"/>
          </w:tcPr>
          <w:p w:rsidR="00E6284E" w:rsidRDefault="00461997" w:rsidP="00F15DC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1" w:type="dxa"/>
            <w:vAlign w:val="center"/>
          </w:tcPr>
          <w:p w:rsidR="00E6284E" w:rsidRDefault="00461997" w:rsidP="00014BD2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评价为优得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3分，良得2分，中得1分。</w:t>
            </w:r>
          </w:p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E6284E">
        <w:trPr>
          <w:trHeight w:val="90"/>
        </w:trPr>
        <w:tc>
          <w:tcPr>
            <w:tcW w:w="43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90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E6284E">
        <w:trPr>
          <w:trHeight w:val="1238"/>
        </w:trPr>
        <w:tc>
          <w:tcPr>
            <w:tcW w:w="435" w:type="dxa"/>
            <w:vMerge w:val="restart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1290" w:type="dxa"/>
            <w:vMerge w:val="restart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创新水平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（15 分）</w:t>
            </w: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技术中心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拥有国家级、省级研发中心、技术中心、产业基地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1.拥有国家级研发中心、技术中心、产业基地的得3分；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2.拥有省级研发中心、技术中心、产业基地的1个得2分，省级2个及以上的，得3分；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3.其他不得分。</w:t>
            </w:r>
          </w:p>
        </w:tc>
      </w:tr>
      <w:tr w:rsidR="00E6284E">
        <w:trPr>
          <w:trHeight w:val="2403"/>
        </w:trPr>
        <w:tc>
          <w:tcPr>
            <w:tcW w:w="435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高新技术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指在《国家重点支持的高新技术领域》内，持续进行研究开发与技术成果转化，形成企业核心自主知识产权，并以此为基础开展经营活动，在中国境内（不包括港、澳、台地区）注册一年以上的居民企业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属于上述描述范围内的高新技术企业得3分，其他不得分。</w:t>
            </w:r>
          </w:p>
        </w:tc>
      </w:tr>
      <w:tr w:rsidR="00E6284E">
        <w:trPr>
          <w:trHeight w:val="1106"/>
        </w:trPr>
        <w:tc>
          <w:tcPr>
            <w:tcW w:w="435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知识产权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授权数量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包括发明专利、实用新型专利、工法和软件著作权等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1.国家级发明专利、实用新型专利、工法和软件著作权，5项为 1 分，上限 3 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2.省级发明专利、实用新型专利、工法和软件著作权，10项为 1 分，上限 3 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3.其他不得分。</w:t>
            </w:r>
          </w:p>
        </w:tc>
      </w:tr>
      <w:tr w:rsidR="00E6284E">
        <w:trPr>
          <w:trHeight w:val="1156"/>
        </w:trPr>
        <w:tc>
          <w:tcPr>
            <w:tcW w:w="435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高层次人才数量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企业拥有行业领军人物、高层次人才（符合广州市评定条件）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企业拥有行业领军人物、高层次人才（符合广州市评定条件），每1名得1分，最高得3分。</w:t>
            </w:r>
          </w:p>
        </w:tc>
      </w:tr>
      <w:tr w:rsidR="00E6284E">
        <w:trPr>
          <w:trHeight w:val="1397"/>
        </w:trPr>
        <w:tc>
          <w:tcPr>
            <w:tcW w:w="43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90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E6284E">
        <w:trPr>
          <w:trHeight w:val="1701"/>
        </w:trPr>
        <w:tc>
          <w:tcPr>
            <w:tcW w:w="43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1290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创新水平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（15 分）</w:t>
            </w: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智能建造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全过程 BIM 技术应用、智能生产、智能监测、建筑机器人、智慧工地、建筑产业互联网等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全过程 BIM 技术应用、智能生产、智能监测、建筑机器人、智慧工地、建筑产业互联网等，拥有1项得1分，上限3分。</w:t>
            </w:r>
          </w:p>
        </w:tc>
      </w:tr>
      <w:tr w:rsidR="00E6284E">
        <w:trPr>
          <w:trHeight w:val="1413"/>
        </w:trPr>
        <w:tc>
          <w:tcPr>
            <w:tcW w:w="435" w:type="dxa"/>
            <w:vMerge w:val="restart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1290" w:type="dxa"/>
            <w:vMerge w:val="restart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市场竞争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分）</w:t>
            </w: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上市企业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上市情况</w:t>
            </w:r>
          </w:p>
        </w:tc>
        <w:tc>
          <w:tcPr>
            <w:tcW w:w="1073" w:type="dxa"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1" w:type="dxa"/>
            <w:vAlign w:val="center"/>
          </w:tcPr>
          <w:p w:rsidR="00E6284E" w:rsidRDefault="00461997" w:rsidP="00014BD2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在上交、深交、北交板块有上市的得5分。</w:t>
            </w:r>
          </w:p>
        </w:tc>
      </w:tr>
      <w:tr w:rsidR="00E6284E">
        <w:trPr>
          <w:trHeight w:val="1122"/>
        </w:trPr>
        <w:tc>
          <w:tcPr>
            <w:tcW w:w="435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4BD2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500 强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世界 、国内 500 强情况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世界 500 强 10 分；国内 500 强5分。</w:t>
            </w:r>
          </w:p>
        </w:tc>
      </w:tr>
      <w:tr w:rsidR="00E6284E">
        <w:trPr>
          <w:trHeight w:val="2100"/>
        </w:trPr>
        <w:tc>
          <w:tcPr>
            <w:tcW w:w="435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完成投资额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近三年完成投资总额</w:t>
            </w:r>
          </w:p>
        </w:tc>
        <w:tc>
          <w:tcPr>
            <w:tcW w:w="1073" w:type="dxa"/>
            <w:vAlign w:val="center"/>
          </w:tcPr>
          <w:p w:rsidR="00E6284E" w:rsidRDefault="00E6284E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E6284E" w:rsidRDefault="00461997">
            <w:pPr>
              <w:spacing w:line="360" w:lineRule="exact"/>
              <w:ind w:firstLineChars="100" w:firstLine="24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1.投资累计总额150亿及以上，得5分；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2.投资累计总额100-150亿（含100亿），得3分；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3.投资累计总额50-100亿（含50亿），得1分；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4.其他不得分。</w:t>
            </w:r>
          </w:p>
        </w:tc>
      </w:tr>
      <w:tr w:rsidR="00E6284E">
        <w:trPr>
          <w:trHeight w:val="1125"/>
        </w:trPr>
        <w:tc>
          <w:tcPr>
            <w:tcW w:w="43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90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E6284E">
        <w:trPr>
          <w:trHeight w:val="1578"/>
        </w:trPr>
        <w:tc>
          <w:tcPr>
            <w:tcW w:w="435" w:type="dxa"/>
            <w:vMerge w:val="restart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1290" w:type="dxa"/>
            <w:vMerge w:val="restart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产业聚集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分）</w:t>
            </w: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建设（运营）产业园区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建设或运营产业园项目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1.牵头建设或运营产业园区项目每1项得1分；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2.参与建设或运营产业园区项目每1项得0.5分；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3.上限3分。</w:t>
            </w:r>
          </w:p>
        </w:tc>
      </w:tr>
      <w:tr w:rsidR="00E6284E">
        <w:trPr>
          <w:trHeight w:val="1593"/>
        </w:trPr>
        <w:tc>
          <w:tcPr>
            <w:tcW w:w="435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产业园区定位、特色、规模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企业自主描述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优得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分，良得2分，中得1分，差得0分。</w:t>
            </w:r>
          </w:p>
        </w:tc>
      </w:tr>
      <w:tr w:rsidR="00E6284E">
        <w:trPr>
          <w:trHeight w:val="2797"/>
        </w:trPr>
        <w:tc>
          <w:tcPr>
            <w:tcW w:w="435" w:type="dxa"/>
            <w:vAlign w:val="center"/>
          </w:tcPr>
          <w:p w:rsidR="00E6284E" w:rsidRDefault="00461997">
            <w:pPr>
              <w:spacing w:line="360" w:lineRule="exac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1290" w:type="dxa"/>
            <w:vAlign w:val="center"/>
          </w:tcPr>
          <w:p w:rsidR="00E6284E" w:rsidRDefault="00E6284E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E6284E" w:rsidRPr="00F15DC4" w:rsidRDefault="00461997" w:rsidP="00F15DC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（24分）</w:t>
            </w:r>
          </w:p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84E" w:rsidRDefault="00461997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“守合同重信用”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按市场监督管理局、工商行政管理局公示证书年数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1.连续20年以上获得“广东省守合同重信用企业”得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2.连续16-20年获得“广东省守合同重信用企业”得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3.连续10-15年获得“广东省守合同重信用企业”得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4.其他不得分。</w:t>
            </w:r>
          </w:p>
        </w:tc>
      </w:tr>
      <w:tr w:rsidR="00E6284E">
        <w:trPr>
          <w:trHeight w:val="1839"/>
        </w:trPr>
        <w:tc>
          <w:tcPr>
            <w:tcW w:w="43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90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E6284E">
        <w:trPr>
          <w:trHeight w:val="2401"/>
        </w:trPr>
        <w:tc>
          <w:tcPr>
            <w:tcW w:w="435" w:type="dxa"/>
            <w:vMerge w:val="restart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1290" w:type="dxa"/>
            <w:vMerge w:val="restart"/>
            <w:vAlign w:val="center"/>
          </w:tcPr>
          <w:p w:rsidR="00E6284E" w:rsidRPr="00F15DC4" w:rsidRDefault="00461997" w:rsidP="00F15DC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（24分）</w:t>
            </w:r>
          </w:p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84E" w:rsidRDefault="00461997">
            <w:pPr>
              <w:pStyle w:val="TableParagraph"/>
              <w:spacing w:before="69"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科技类、技术类奖项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获得科学技术类奖项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1.获得国家级科技类、技术类奖项每1项1分；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2.获得省级、市级科技类、技术类奖项每2项1分；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3.上限5分。</w:t>
            </w:r>
          </w:p>
        </w:tc>
      </w:tr>
      <w:tr w:rsidR="00E6284E">
        <w:trPr>
          <w:trHeight w:val="4519"/>
        </w:trPr>
        <w:tc>
          <w:tcPr>
            <w:tcW w:w="435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84E" w:rsidRDefault="00461997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质量类奖项</w:t>
            </w:r>
          </w:p>
          <w:p w:rsidR="00E6284E" w:rsidRDefault="00E6284E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E6284E" w:rsidRDefault="00461997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企业、项目获得国家级、省级、市级质量类奖项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1.获得政府质量奖国家级得2分，省级得1.5分，市级1分；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2.获得鲁班奖、国家优质工程奖等国家级奖项每1项1分；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3.获得詹天佑、大禹、电力优质工程等国家级奖项每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4.获得省级优质工程奖每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5.获得市级优质工程奖每8项1分；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6.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上限5分。</w:t>
            </w:r>
          </w:p>
        </w:tc>
      </w:tr>
      <w:tr w:rsidR="00E6284E">
        <w:trPr>
          <w:trHeight w:val="1125"/>
        </w:trPr>
        <w:tc>
          <w:tcPr>
            <w:tcW w:w="43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90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27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E6284E">
        <w:trPr>
          <w:trHeight w:val="2676"/>
        </w:trPr>
        <w:tc>
          <w:tcPr>
            <w:tcW w:w="435" w:type="dxa"/>
            <w:vMerge w:val="restart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</w:p>
        </w:tc>
        <w:tc>
          <w:tcPr>
            <w:tcW w:w="1290" w:type="dxa"/>
            <w:vMerge w:val="restart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</w:t>
            </w:r>
          </w:p>
          <w:p w:rsidR="00E6284E" w:rsidRPr="00F15DC4" w:rsidRDefault="00461997" w:rsidP="00F15DC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trike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（24分）</w:t>
            </w:r>
          </w:p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trike/>
                <w:sz w:val="24"/>
                <w:szCs w:val="24"/>
              </w:rPr>
            </w:pPr>
          </w:p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trike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84E" w:rsidRDefault="00461997">
            <w:pPr>
              <w:pStyle w:val="TableParagraph"/>
              <w:spacing w:before="71" w:line="360" w:lineRule="exact"/>
              <w:ind w:right="2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安全文明、绿色施工类奖项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企业、项目获得国家级、省级、市级安全文明、绿色施工类奖项</w:t>
            </w:r>
          </w:p>
        </w:tc>
        <w:tc>
          <w:tcPr>
            <w:tcW w:w="1073" w:type="dxa"/>
            <w:vAlign w:val="center"/>
          </w:tcPr>
          <w:p w:rsidR="00E6284E" w:rsidRDefault="00461997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获得国家级安全文明、绿色施工类奖每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项得1分；</w:t>
            </w:r>
          </w:p>
          <w:p w:rsidR="00E6284E" w:rsidRDefault="00461997"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获得省级安全文明、绿色施工类奖每6项得1分；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3.获得地级市安全文明、绿色施工类奖每10项得1分；</w:t>
            </w:r>
          </w:p>
          <w:p w:rsidR="00E6284E" w:rsidRDefault="0046199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4.上限3分。</w:t>
            </w:r>
          </w:p>
        </w:tc>
      </w:tr>
      <w:tr w:rsidR="00E6284E">
        <w:trPr>
          <w:trHeight w:val="2967"/>
        </w:trPr>
        <w:tc>
          <w:tcPr>
            <w:tcW w:w="435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E6284E" w:rsidRDefault="00E6284E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84E" w:rsidRDefault="00461997">
            <w:pPr>
              <w:pStyle w:val="TableParagraph"/>
              <w:spacing w:before="71" w:line="360" w:lineRule="exact"/>
              <w:ind w:right="2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社会责任</w:t>
            </w:r>
          </w:p>
          <w:p w:rsidR="00E6284E" w:rsidRDefault="00461997">
            <w:pPr>
              <w:pStyle w:val="TableParagraph"/>
              <w:spacing w:before="71" w:line="360" w:lineRule="exact"/>
              <w:ind w:right="2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担当</w:t>
            </w:r>
          </w:p>
        </w:tc>
        <w:tc>
          <w:tcPr>
            <w:tcW w:w="3945" w:type="dxa"/>
            <w:vAlign w:val="center"/>
          </w:tcPr>
          <w:p w:rsidR="00E6284E" w:rsidRDefault="00461997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成立抢险队、参加险情抢险、扶贫攻坚、助力政府疫情防控等</w:t>
            </w:r>
          </w:p>
        </w:tc>
        <w:tc>
          <w:tcPr>
            <w:tcW w:w="1073" w:type="dxa"/>
            <w:vAlign w:val="center"/>
          </w:tcPr>
          <w:p w:rsidR="00E6284E" w:rsidRPr="00F15DC4" w:rsidRDefault="00F15DC4" w:rsidP="00F15DC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F15DC4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5</w:t>
            </w:r>
            <w:r w:rsidR="00461997" w:rsidRPr="00F15DC4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641" w:type="dxa"/>
            <w:vAlign w:val="center"/>
          </w:tcPr>
          <w:p w:rsidR="00E6284E" w:rsidRDefault="00461997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参与国家、省、市重点（民生）项目建设得1分；</w:t>
            </w:r>
          </w:p>
          <w:p w:rsidR="00E6284E" w:rsidRDefault="00461997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拥有组建政府相关部门认可的市级以上三防机动抢险队每支得1分；</w:t>
            </w:r>
          </w:p>
          <w:p w:rsidR="00E6284E" w:rsidRDefault="00461997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参加上述行动并被相关部门表彰，每项得0.5分；</w:t>
            </w:r>
          </w:p>
          <w:p w:rsidR="00E6284E" w:rsidRDefault="00461997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上限5分。</w:t>
            </w:r>
          </w:p>
        </w:tc>
      </w:tr>
    </w:tbl>
    <w:p w:rsidR="00E6284E" w:rsidRDefault="00E6284E">
      <w:pPr>
        <w:tabs>
          <w:tab w:val="left" w:pos="4529"/>
        </w:tabs>
        <w:jc w:val="left"/>
      </w:pPr>
    </w:p>
    <w:sectPr w:rsidR="00E6284E">
      <w:footerReference w:type="default" r:id="rId8"/>
      <w:pgSz w:w="16838" w:h="11906" w:orient="landscape"/>
      <w:pgMar w:top="1587" w:right="2098" w:bottom="1474" w:left="198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73" w:rsidRDefault="00024A73">
      <w:r>
        <w:separator/>
      </w:r>
    </w:p>
  </w:endnote>
  <w:endnote w:type="continuationSeparator" w:id="0">
    <w:p w:rsidR="00024A73" w:rsidRDefault="0002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4E" w:rsidRDefault="00024A7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85.6pt;margin-top:0;width:2in;height:2in;z-index:251689984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<v:textbox style="mso-fit-shape-to-text:t" inset="0,0,0,0">
            <w:txbxContent>
              <w:p w:rsidR="00E6284E" w:rsidRDefault="00461997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014BD2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73" w:rsidRDefault="00024A73">
      <w:r>
        <w:separator/>
      </w:r>
    </w:p>
  </w:footnote>
  <w:footnote w:type="continuationSeparator" w:id="0">
    <w:p w:rsidR="00024A73" w:rsidRDefault="0002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9C548"/>
    <w:multiLevelType w:val="singleLevel"/>
    <w:tmpl w:val="8109C5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D490C27"/>
    <w:multiLevelType w:val="singleLevel"/>
    <w:tmpl w:val="ED490C2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DB2D2CE"/>
    <w:multiLevelType w:val="singleLevel"/>
    <w:tmpl w:val="1DB2D2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39F903E7"/>
    <w:multiLevelType w:val="singleLevel"/>
    <w:tmpl w:val="39F903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a8.gdceg.com:443/seeyon/officeservlet"/>
  </w:docVars>
  <w:rsids>
    <w:rsidRoot w:val="00CE2D44"/>
    <w:rsid w:val="000056F0"/>
    <w:rsid w:val="000144AD"/>
    <w:rsid w:val="00014BD2"/>
    <w:rsid w:val="00024A73"/>
    <w:rsid w:val="00095C8F"/>
    <w:rsid w:val="000E10F1"/>
    <w:rsid w:val="000E7018"/>
    <w:rsid w:val="00121E14"/>
    <w:rsid w:val="001271E1"/>
    <w:rsid w:val="00197C65"/>
    <w:rsid w:val="00245FED"/>
    <w:rsid w:val="00266E28"/>
    <w:rsid w:val="00270125"/>
    <w:rsid w:val="00270CFF"/>
    <w:rsid w:val="00367FAB"/>
    <w:rsid w:val="003A4C45"/>
    <w:rsid w:val="003C5451"/>
    <w:rsid w:val="003D4E3C"/>
    <w:rsid w:val="00421B43"/>
    <w:rsid w:val="00422F58"/>
    <w:rsid w:val="00461997"/>
    <w:rsid w:val="00540EA0"/>
    <w:rsid w:val="00547AD9"/>
    <w:rsid w:val="005C53AF"/>
    <w:rsid w:val="005F3D5B"/>
    <w:rsid w:val="00625BFB"/>
    <w:rsid w:val="00674E48"/>
    <w:rsid w:val="00682DF2"/>
    <w:rsid w:val="00691F92"/>
    <w:rsid w:val="006C1D03"/>
    <w:rsid w:val="0074567F"/>
    <w:rsid w:val="007656B3"/>
    <w:rsid w:val="007B51AB"/>
    <w:rsid w:val="007B6DD7"/>
    <w:rsid w:val="0081166B"/>
    <w:rsid w:val="00832B03"/>
    <w:rsid w:val="008A5D8C"/>
    <w:rsid w:val="008C7F35"/>
    <w:rsid w:val="008D1DB5"/>
    <w:rsid w:val="00943865"/>
    <w:rsid w:val="00966456"/>
    <w:rsid w:val="009E27AA"/>
    <w:rsid w:val="00A5220C"/>
    <w:rsid w:val="00AA489F"/>
    <w:rsid w:val="00B05D33"/>
    <w:rsid w:val="00B21D34"/>
    <w:rsid w:val="00B735B9"/>
    <w:rsid w:val="00BB0428"/>
    <w:rsid w:val="00C35A70"/>
    <w:rsid w:val="00CE2D44"/>
    <w:rsid w:val="00D71EB1"/>
    <w:rsid w:val="00E26587"/>
    <w:rsid w:val="00E35456"/>
    <w:rsid w:val="00E50AC3"/>
    <w:rsid w:val="00E6284E"/>
    <w:rsid w:val="00EE76C8"/>
    <w:rsid w:val="00F15DC4"/>
    <w:rsid w:val="00F33C59"/>
    <w:rsid w:val="00F85C2F"/>
    <w:rsid w:val="00F97447"/>
    <w:rsid w:val="00FE1CBE"/>
    <w:rsid w:val="01105E22"/>
    <w:rsid w:val="01D21668"/>
    <w:rsid w:val="03665DA8"/>
    <w:rsid w:val="04394E61"/>
    <w:rsid w:val="054F6872"/>
    <w:rsid w:val="06C229CD"/>
    <w:rsid w:val="07041C7C"/>
    <w:rsid w:val="07EF40D1"/>
    <w:rsid w:val="08251227"/>
    <w:rsid w:val="087F2174"/>
    <w:rsid w:val="08E5324B"/>
    <w:rsid w:val="08F113CC"/>
    <w:rsid w:val="098B763C"/>
    <w:rsid w:val="0AC67BFD"/>
    <w:rsid w:val="0B8C1B0E"/>
    <w:rsid w:val="0C5B7E8A"/>
    <w:rsid w:val="0CCA1E66"/>
    <w:rsid w:val="0CEB7F65"/>
    <w:rsid w:val="0CED655C"/>
    <w:rsid w:val="0DBA6674"/>
    <w:rsid w:val="0E921253"/>
    <w:rsid w:val="0EE3661B"/>
    <w:rsid w:val="0F316A76"/>
    <w:rsid w:val="123D4691"/>
    <w:rsid w:val="12E31B70"/>
    <w:rsid w:val="15C76E47"/>
    <w:rsid w:val="15FB4D5F"/>
    <w:rsid w:val="162771DA"/>
    <w:rsid w:val="1667608C"/>
    <w:rsid w:val="17002011"/>
    <w:rsid w:val="17181061"/>
    <w:rsid w:val="1788703F"/>
    <w:rsid w:val="18380573"/>
    <w:rsid w:val="183A1FF4"/>
    <w:rsid w:val="1AFA3E25"/>
    <w:rsid w:val="1C2F351C"/>
    <w:rsid w:val="1DCA5A31"/>
    <w:rsid w:val="1DEC623F"/>
    <w:rsid w:val="1E407CEF"/>
    <w:rsid w:val="1E9F5979"/>
    <w:rsid w:val="1EB645F3"/>
    <w:rsid w:val="1FCD6F14"/>
    <w:rsid w:val="21AF4092"/>
    <w:rsid w:val="21D551CF"/>
    <w:rsid w:val="220475E4"/>
    <w:rsid w:val="22083086"/>
    <w:rsid w:val="258B4103"/>
    <w:rsid w:val="25AC62F4"/>
    <w:rsid w:val="25E805C5"/>
    <w:rsid w:val="28235E02"/>
    <w:rsid w:val="285F668A"/>
    <w:rsid w:val="28CF747A"/>
    <w:rsid w:val="29EF2624"/>
    <w:rsid w:val="2A5C0B8C"/>
    <w:rsid w:val="2BDF572B"/>
    <w:rsid w:val="2CFF2404"/>
    <w:rsid w:val="2DA03D4F"/>
    <w:rsid w:val="2E426D6B"/>
    <w:rsid w:val="2F07180B"/>
    <w:rsid w:val="2F1A3822"/>
    <w:rsid w:val="2FEE4C60"/>
    <w:rsid w:val="30AC7196"/>
    <w:rsid w:val="30B5035E"/>
    <w:rsid w:val="31217C2D"/>
    <w:rsid w:val="319E1335"/>
    <w:rsid w:val="32403EB3"/>
    <w:rsid w:val="328E5535"/>
    <w:rsid w:val="33F61CBE"/>
    <w:rsid w:val="346E470F"/>
    <w:rsid w:val="34A44DAD"/>
    <w:rsid w:val="35A53228"/>
    <w:rsid w:val="36F2460A"/>
    <w:rsid w:val="38544B17"/>
    <w:rsid w:val="38C61B6E"/>
    <w:rsid w:val="39603E28"/>
    <w:rsid w:val="39903248"/>
    <w:rsid w:val="39CB4120"/>
    <w:rsid w:val="3B2B1E2C"/>
    <w:rsid w:val="3B4D24AB"/>
    <w:rsid w:val="3C2307A1"/>
    <w:rsid w:val="3D8001A7"/>
    <w:rsid w:val="3E6058D3"/>
    <w:rsid w:val="3E8B6DDA"/>
    <w:rsid w:val="3E9E18A0"/>
    <w:rsid w:val="3E9E3E9C"/>
    <w:rsid w:val="3EE35AE1"/>
    <w:rsid w:val="3F3B78BA"/>
    <w:rsid w:val="3FBC6C50"/>
    <w:rsid w:val="3FC944D1"/>
    <w:rsid w:val="3FCB3EFC"/>
    <w:rsid w:val="403375C7"/>
    <w:rsid w:val="414554D8"/>
    <w:rsid w:val="4299317E"/>
    <w:rsid w:val="42B849D3"/>
    <w:rsid w:val="4332393A"/>
    <w:rsid w:val="44670A4F"/>
    <w:rsid w:val="44B06029"/>
    <w:rsid w:val="44B35930"/>
    <w:rsid w:val="44D5176D"/>
    <w:rsid w:val="45E22F53"/>
    <w:rsid w:val="4706073F"/>
    <w:rsid w:val="470F2CFD"/>
    <w:rsid w:val="47B86787"/>
    <w:rsid w:val="487F72DA"/>
    <w:rsid w:val="489050C8"/>
    <w:rsid w:val="48BF70F4"/>
    <w:rsid w:val="48E14CEF"/>
    <w:rsid w:val="4919662F"/>
    <w:rsid w:val="49935DD6"/>
    <w:rsid w:val="49DC1FCE"/>
    <w:rsid w:val="4B5A0C51"/>
    <w:rsid w:val="4B664839"/>
    <w:rsid w:val="4B901A16"/>
    <w:rsid w:val="4C893F53"/>
    <w:rsid w:val="4CFA47EA"/>
    <w:rsid w:val="4D1E214D"/>
    <w:rsid w:val="4DCA56A8"/>
    <w:rsid w:val="4F332CCE"/>
    <w:rsid w:val="4FC54122"/>
    <w:rsid w:val="501B419B"/>
    <w:rsid w:val="50802D76"/>
    <w:rsid w:val="521F6225"/>
    <w:rsid w:val="5410111C"/>
    <w:rsid w:val="54607D1E"/>
    <w:rsid w:val="54FA665F"/>
    <w:rsid w:val="5569376F"/>
    <w:rsid w:val="55A64E6D"/>
    <w:rsid w:val="562E14EB"/>
    <w:rsid w:val="570A4691"/>
    <w:rsid w:val="57433A45"/>
    <w:rsid w:val="578534A8"/>
    <w:rsid w:val="58543D60"/>
    <w:rsid w:val="592E1979"/>
    <w:rsid w:val="59EE42F3"/>
    <w:rsid w:val="5A386BC5"/>
    <w:rsid w:val="5A400B2F"/>
    <w:rsid w:val="5B3B3DCB"/>
    <w:rsid w:val="5BD81B13"/>
    <w:rsid w:val="5E1B6A7A"/>
    <w:rsid w:val="5E652D7A"/>
    <w:rsid w:val="5EBC7EB4"/>
    <w:rsid w:val="5F30117B"/>
    <w:rsid w:val="5FFE1436"/>
    <w:rsid w:val="604420FB"/>
    <w:rsid w:val="605109E5"/>
    <w:rsid w:val="60F51E2E"/>
    <w:rsid w:val="616C2E7C"/>
    <w:rsid w:val="61B852F8"/>
    <w:rsid w:val="61FA1BD7"/>
    <w:rsid w:val="63922F69"/>
    <w:rsid w:val="639B5718"/>
    <w:rsid w:val="63A97749"/>
    <w:rsid w:val="64814EF3"/>
    <w:rsid w:val="64AC1A2B"/>
    <w:rsid w:val="653151C5"/>
    <w:rsid w:val="655F7696"/>
    <w:rsid w:val="65B95209"/>
    <w:rsid w:val="668639F3"/>
    <w:rsid w:val="66C93781"/>
    <w:rsid w:val="672E7C95"/>
    <w:rsid w:val="674676D4"/>
    <w:rsid w:val="675A5DD8"/>
    <w:rsid w:val="68480D03"/>
    <w:rsid w:val="697C2C10"/>
    <w:rsid w:val="69D8313A"/>
    <w:rsid w:val="6AED4526"/>
    <w:rsid w:val="6BF818A0"/>
    <w:rsid w:val="6C443D3D"/>
    <w:rsid w:val="6CE52A2D"/>
    <w:rsid w:val="6D93430E"/>
    <w:rsid w:val="6DD145C2"/>
    <w:rsid w:val="6E845B02"/>
    <w:rsid w:val="6F6A2470"/>
    <w:rsid w:val="70395898"/>
    <w:rsid w:val="725C772A"/>
    <w:rsid w:val="73913D24"/>
    <w:rsid w:val="74AC7780"/>
    <w:rsid w:val="750908F3"/>
    <w:rsid w:val="757332C9"/>
    <w:rsid w:val="7615238E"/>
    <w:rsid w:val="76290D10"/>
    <w:rsid w:val="763735A8"/>
    <w:rsid w:val="76E9193B"/>
    <w:rsid w:val="77331D9A"/>
    <w:rsid w:val="77803E43"/>
    <w:rsid w:val="784D2459"/>
    <w:rsid w:val="79AC7D78"/>
    <w:rsid w:val="79EF13B6"/>
    <w:rsid w:val="7AC7141B"/>
    <w:rsid w:val="7AD6414B"/>
    <w:rsid w:val="7C63030A"/>
    <w:rsid w:val="7CF05686"/>
    <w:rsid w:val="7D0957E9"/>
    <w:rsid w:val="7D1D2155"/>
    <w:rsid w:val="7D9003F4"/>
    <w:rsid w:val="7DBC33EA"/>
    <w:rsid w:val="7DBD1600"/>
    <w:rsid w:val="7EA80805"/>
    <w:rsid w:val="7F53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2823A48"/>
  <w15:docId w15:val="{CB273A01-34FB-455B-95AC-1C1AD947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rFonts w:ascii="Times New Roman" w:eastAsia="宋体" w:hAnsi="Times New Roman" w:cs="Times New Roman"/>
      <w:i/>
    </w:rPr>
  </w:style>
  <w:style w:type="character" w:customStyle="1" w:styleId="a4">
    <w:name w:val="页脚 字符"/>
    <w:link w:val="a3"/>
    <w:qFormat/>
    <w:rPr>
      <w:kern w:val="2"/>
      <w:sz w:val="18"/>
      <w:szCs w:val="22"/>
    </w:rPr>
  </w:style>
  <w:style w:type="character" w:customStyle="1" w:styleId="fontstyle01">
    <w:name w:val="fontstyle01"/>
    <w:basedOn w:val="a0"/>
    <w:qFormat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b/>
      <w:color w:val="000000"/>
      <w:sz w:val="29"/>
      <w:szCs w:val="29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b/>
      <w:color w:val="000000"/>
      <w:sz w:val="29"/>
      <w:szCs w:val="29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9"/>
      <w:szCs w:val="29"/>
      <w:u w:val="none"/>
    </w:rPr>
  </w:style>
  <w:style w:type="character" w:customStyle="1" w:styleId="font51">
    <w:name w:val="font51"/>
    <w:basedOn w:val="a0"/>
    <w:qFormat/>
    <w:rPr>
      <w:rFonts w:ascii="仿宋" w:eastAsia="仿宋" w:hAnsi="仿宋" w:cs="仿宋" w:hint="eastAsia"/>
      <w:color w:val="000000"/>
      <w:sz w:val="28"/>
      <w:szCs w:val="28"/>
      <w:u w:val="single"/>
    </w:rPr>
  </w:style>
  <w:style w:type="character" w:customStyle="1" w:styleId="font71">
    <w:name w:val="font7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Arial" w:hAnsi="Arial" w:cs="Arial" w:hint="default"/>
      <w:color w:val="000000"/>
      <w:sz w:val="29"/>
      <w:szCs w:val="29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b/>
      <w:color w:val="000000"/>
      <w:sz w:val="29"/>
      <w:szCs w:val="29"/>
      <w:u w:val="none"/>
    </w:rPr>
  </w:style>
  <w:style w:type="character" w:customStyle="1" w:styleId="font181">
    <w:name w:val="font181"/>
    <w:basedOn w:val="a0"/>
    <w:qFormat/>
    <w:rPr>
      <w:rFonts w:ascii="宋体" w:eastAsia="宋体" w:hAnsi="宋体" w:cs="宋体" w:hint="eastAsia"/>
      <w:b/>
      <w:color w:val="000000"/>
      <w:sz w:val="29"/>
      <w:szCs w:val="29"/>
      <w:u w:val="none"/>
    </w:rPr>
  </w:style>
  <w:style w:type="character" w:customStyle="1" w:styleId="font171">
    <w:name w:val="font171"/>
    <w:basedOn w:val="a0"/>
    <w:qFormat/>
    <w:rPr>
      <w:rFonts w:ascii="仿宋" w:eastAsia="仿宋" w:hAnsi="仿宋" w:cs="仿宋" w:hint="eastAsia"/>
      <w:color w:val="000000"/>
      <w:sz w:val="29"/>
      <w:szCs w:val="29"/>
      <w:u w:val="none"/>
    </w:rPr>
  </w:style>
  <w:style w:type="character" w:customStyle="1" w:styleId="font191">
    <w:name w:val="font191"/>
    <w:basedOn w:val="a0"/>
    <w:qFormat/>
    <w:rPr>
      <w:rFonts w:ascii="仿宋" w:eastAsia="仿宋" w:hAnsi="仿宋" w:cs="仿宋" w:hint="eastAsia"/>
      <w:color w:val="FF0000"/>
      <w:sz w:val="29"/>
      <w:szCs w:val="29"/>
      <w:u w:val="none"/>
    </w:rPr>
  </w:style>
  <w:style w:type="character" w:customStyle="1" w:styleId="font161">
    <w:name w:val="font161"/>
    <w:basedOn w:val="a0"/>
    <w:qFormat/>
    <w:rPr>
      <w:rFonts w:ascii="仿宋" w:eastAsia="仿宋" w:hAnsi="仿宋" w:cs="仿宋" w:hint="eastAsia"/>
      <w:color w:val="FF0000"/>
      <w:sz w:val="29"/>
      <w:szCs w:val="29"/>
      <w:u w:val="none"/>
    </w:rPr>
  </w:style>
  <w:style w:type="character" w:customStyle="1" w:styleId="font91">
    <w:name w:val="font91"/>
    <w:basedOn w:val="a0"/>
    <w:qFormat/>
    <w:rPr>
      <w:rFonts w:ascii="仿宋" w:eastAsia="仿宋" w:hAnsi="仿宋" w:cs="仿宋" w:hint="eastAsia"/>
      <w:color w:val="000000"/>
      <w:sz w:val="29"/>
      <w:szCs w:val="29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FF0000"/>
      <w:sz w:val="29"/>
      <w:szCs w:val="29"/>
      <w:u w:val="none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b/>
      <w:color w:val="FF0000"/>
      <w:sz w:val="29"/>
      <w:szCs w:val="29"/>
      <w:u w:val="none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9"/>
      <w:szCs w:val="29"/>
      <w:u w:val="none"/>
    </w:rPr>
  </w:style>
  <w:style w:type="character" w:customStyle="1" w:styleId="font201">
    <w:name w:val="font201"/>
    <w:basedOn w:val="a0"/>
    <w:qFormat/>
    <w:rPr>
      <w:rFonts w:ascii="Times New Roman" w:hAnsi="Times New Roman" w:cs="Times New Roman" w:hint="default"/>
      <w:b/>
      <w:color w:val="000000"/>
      <w:sz w:val="29"/>
      <w:szCs w:val="29"/>
      <w:u w:val="none"/>
    </w:rPr>
  </w:style>
  <w:style w:type="character" w:customStyle="1" w:styleId="font141">
    <w:name w:val="font141"/>
    <w:basedOn w:val="a0"/>
    <w:qFormat/>
    <w:rPr>
      <w:rFonts w:ascii="仿宋" w:eastAsia="仿宋" w:hAnsi="仿宋" w:cs="仿宋" w:hint="eastAsia"/>
      <w:strike/>
      <w:color w:val="FF0000"/>
      <w:sz w:val="29"/>
      <w:szCs w:val="29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zxm</dc:creator>
  <cp:lastModifiedBy>李嘉欣</cp:lastModifiedBy>
  <cp:revision>20</cp:revision>
  <cp:lastPrinted>2022-04-26T03:01:00Z</cp:lastPrinted>
  <dcterms:created xsi:type="dcterms:W3CDTF">2022-05-24T02:36:00Z</dcterms:created>
  <dcterms:modified xsi:type="dcterms:W3CDTF">2022-05-30T01:46:00Z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34E257C528E94C3BA9923CB2F80EB9DE</vt:lpwstr>
  </property>
</Properties>
</file>